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004C1" w14:textId="26F800F8" w:rsidR="00BD60B1" w:rsidRPr="00BD60B1" w:rsidRDefault="00BD60B1" w:rsidP="00BD60B1">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Pr>
          <w:rFonts w:ascii="Times New Roman" w:eastAsia="Times New Roman" w:hAnsi="Times New Roman" w:cs="Times New Roman"/>
          <w:b/>
          <w:bCs/>
          <w:sz w:val="24"/>
          <w:szCs w:val="24"/>
          <w:lang w:eastAsia="en-AU"/>
        </w:rPr>
        <w:t>FIN381 20</w:t>
      </w:r>
      <w:r w:rsidR="008F0EB7">
        <w:rPr>
          <w:rFonts w:ascii="Times New Roman" w:eastAsia="Times New Roman" w:hAnsi="Times New Roman" w:cs="Times New Roman"/>
          <w:b/>
          <w:bCs/>
          <w:sz w:val="24"/>
          <w:szCs w:val="24"/>
          <w:lang w:eastAsia="en-AU"/>
        </w:rPr>
        <w:t>2030</w:t>
      </w:r>
      <w:r>
        <w:rPr>
          <w:rFonts w:ascii="Times New Roman" w:eastAsia="Times New Roman" w:hAnsi="Times New Roman" w:cs="Times New Roman"/>
          <w:b/>
          <w:bCs/>
          <w:sz w:val="24"/>
          <w:szCs w:val="24"/>
          <w:lang w:eastAsia="en-AU"/>
        </w:rPr>
        <w:t xml:space="preserve">A </w:t>
      </w:r>
      <w:r w:rsidR="00127BA4">
        <w:rPr>
          <w:rFonts w:ascii="Times New Roman" w:eastAsia="Times New Roman" w:hAnsi="Times New Roman" w:cs="Times New Roman"/>
          <w:b/>
          <w:bCs/>
          <w:sz w:val="24"/>
          <w:szCs w:val="24"/>
          <w:lang w:eastAsia="en-AU"/>
        </w:rPr>
        <w:t xml:space="preserve">KC </w:t>
      </w:r>
      <w:r w:rsidR="008F0EB7">
        <w:rPr>
          <w:rFonts w:ascii="Times New Roman" w:eastAsia="Times New Roman" w:hAnsi="Times New Roman" w:cs="Times New Roman"/>
          <w:b/>
          <w:bCs/>
          <w:sz w:val="24"/>
          <w:szCs w:val="24"/>
          <w:lang w:eastAsia="en-AU"/>
        </w:rPr>
        <w:t xml:space="preserve">&amp; </w:t>
      </w:r>
      <w:r w:rsidR="00127BA4">
        <w:rPr>
          <w:rFonts w:ascii="Times New Roman" w:eastAsia="Times New Roman" w:hAnsi="Times New Roman" w:cs="Times New Roman"/>
          <w:b/>
          <w:bCs/>
          <w:sz w:val="24"/>
          <w:szCs w:val="24"/>
          <w:lang w:eastAsia="en-AU"/>
        </w:rPr>
        <w:t>KT</w:t>
      </w:r>
      <w:r>
        <w:rPr>
          <w:rFonts w:ascii="Times New Roman" w:eastAsia="Times New Roman" w:hAnsi="Times New Roman" w:cs="Times New Roman"/>
          <w:b/>
          <w:bCs/>
          <w:sz w:val="24"/>
          <w:szCs w:val="24"/>
          <w:lang w:eastAsia="en-AU"/>
        </w:rPr>
        <w:t xml:space="preserve"> Additional </w:t>
      </w:r>
      <w:r w:rsidRPr="00BD60B1">
        <w:rPr>
          <w:rFonts w:ascii="Times New Roman" w:eastAsia="Times New Roman" w:hAnsi="Times New Roman" w:cs="Times New Roman"/>
          <w:b/>
          <w:bCs/>
          <w:sz w:val="24"/>
          <w:szCs w:val="24"/>
          <w:lang w:eastAsia="en-AU"/>
        </w:rPr>
        <w:t>Assignment</w:t>
      </w:r>
    </w:p>
    <w:p w14:paraId="06F3079B" w14:textId="5D9C0AFE"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b/>
          <w:bCs/>
          <w:sz w:val="24"/>
          <w:szCs w:val="24"/>
          <w:lang w:eastAsia="en-AU"/>
        </w:rPr>
        <w:t>Value:</w:t>
      </w:r>
      <w:r w:rsidRPr="00BD60B1">
        <w:rPr>
          <w:rFonts w:ascii="Times New Roman" w:eastAsia="Times New Roman" w:hAnsi="Times New Roman" w:cs="Times New Roman"/>
          <w:sz w:val="24"/>
          <w:szCs w:val="24"/>
          <w:lang w:eastAsia="en-AU"/>
        </w:rPr>
        <w:t xml:space="preserve"> </w:t>
      </w:r>
      <w:r w:rsidR="008F0EB7">
        <w:rPr>
          <w:rFonts w:ascii="Times New Roman" w:eastAsia="Times New Roman" w:hAnsi="Times New Roman" w:cs="Times New Roman"/>
          <w:sz w:val="24"/>
          <w:szCs w:val="24"/>
          <w:lang w:eastAsia="en-AU"/>
        </w:rPr>
        <w:t>5</w:t>
      </w:r>
      <w:r w:rsidRPr="00BD60B1">
        <w:rPr>
          <w:rFonts w:ascii="Times New Roman" w:eastAsia="Times New Roman" w:hAnsi="Times New Roman" w:cs="Times New Roman"/>
          <w:sz w:val="24"/>
          <w:szCs w:val="24"/>
          <w:lang w:eastAsia="en-AU"/>
        </w:rPr>
        <w:t xml:space="preserve">0% </w:t>
      </w:r>
    </w:p>
    <w:p w14:paraId="64CC3AED" w14:textId="7A2B9494" w:rsidR="00BD60B1" w:rsidRPr="00BD60B1" w:rsidRDefault="00BD60B1" w:rsidP="008F0EB7">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b/>
          <w:bCs/>
          <w:sz w:val="24"/>
          <w:szCs w:val="24"/>
          <w:lang w:eastAsia="en-AU"/>
        </w:rPr>
        <w:t>Due Date:</w:t>
      </w:r>
      <w:r w:rsidRPr="00BD60B1">
        <w:rPr>
          <w:rFonts w:ascii="Times New Roman" w:eastAsia="Times New Roman" w:hAnsi="Times New Roman" w:cs="Times New Roman"/>
          <w:sz w:val="24"/>
          <w:szCs w:val="24"/>
          <w:lang w:eastAsia="en-AU"/>
        </w:rPr>
        <w:t xml:space="preserve"> </w:t>
      </w:r>
      <w:r w:rsidR="008F0EB7">
        <w:rPr>
          <w:rFonts w:ascii="Times New Roman" w:eastAsia="Times New Roman" w:hAnsi="Times New Roman" w:cs="Times New Roman"/>
          <w:sz w:val="24"/>
          <w:szCs w:val="24"/>
          <w:lang w:eastAsia="en-AU"/>
        </w:rPr>
        <w:t>two weeks from receipt of this document</w:t>
      </w:r>
    </w:p>
    <w:p w14:paraId="09FD751C"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b/>
          <w:bCs/>
          <w:sz w:val="24"/>
          <w:szCs w:val="24"/>
          <w:lang w:eastAsia="en-AU"/>
        </w:rPr>
        <w:t>Length:</w:t>
      </w:r>
      <w:r w:rsidRPr="00BD60B1">
        <w:rPr>
          <w:rFonts w:ascii="Times New Roman" w:eastAsia="Times New Roman" w:hAnsi="Times New Roman" w:cs="Times New Roman"/>
          <w:sz w:val="24"/>
          <w:szCs w:val="24"/>
          <w:lang w:eastAsia="en-AU"/>
        </w:rPr>
        <w:t xml:space="preserve"> 2,000 words </w:t>
      </w:r>
    </w:p>
    <w:p w14:paraId="5B8272EF"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b/>
          <w:bCs/>
          <w:sz w:val="24"/>
          <w:szCs w:val="24"/>
          <w:lang w:eastAsia="en-AU"/>
        </w:rPr>
        <w:t>Submission method options:</w:t>
      </w:r>
      <w:r w:rsidRPr="00BD60B1">
        <w:rPr>
          <w:rFonts w:ascii="Times New Roman" w:eastAsia="Times New Roman" w:hAnsi="Times New Roman" w:cs="Times New Roman"/>
          <w:sz w:val="24"/>
          <w:szCs w:val="24"/>
          <w:lang w:eastAsia="en-AU"/>
        </w:rPr>
        <w:t xml:space="preserve"> </w:t>
      </w:r>
    </w:p>
    <w:p w14:paraId="36802AC5" w14:textId="77777777" w:rsidR="00BD60B1" w:rsidRPr="00BD60B1" w:rsidRDefault="00BD60B1" w:rsidP="00BD60B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 xml:space="preserve">EASTS (online) </w:t>
      </w:r>
    </w:p>
    <w:p w14:paraId="6DF58947" w14:textId="77777777" w:rsidR="00BD60B1" w:rsidRPr="00BD60B1" w:rsidRDefault="00BD60B1" w:rsidP="00BD60B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 xml:space="preserve">Hand delivery </w:t>
      </w:r>
    </w:p>
    <w:p w14:paraId="7FA04E18" w14:textId="77777777" w:rsidR="00BD60B1" w:rsidRPr="00BD60B1" w:rsidRDefault="00BD60B1" w:rsidP="00BD60B1">
      <w:pPr>
        <w:spacing w:before="100" w:beforeAutospacing="1" w:after="100" w:afterAutospacing="1" w:line="240" w:lineRule="auto"/>
        <w:outlineLvl w:val="3"/>
        <w:rPr>
          <w:rFonts w:ascii="Times New Roman" w:eastAsia="Times New Roman" w:hAnsi="Times New Roman" w:cs="Times New Roman"/>
          <w:b/>
          <w:bCs/>
          <w:sz w:val="24"/>
          <w:szCs w:val="24"/>
          <w:lang w:eastAsia="en-AU"/>
        </w:rPr>
      </w:pPr>
      <w:r w:rsidRPr="00BD60B1">
        <w:rPr>
          <w:rFonts w:ascii="Times New Roman" w:eastAsia="Times New Roman" w:hAnsi="Times New Roman" w:cs="Times New Roman"/>
          <w:b/>
          <w:bCs/>
          <w:sz w:val="24"/>
          <w:szCs w:val="24"/>
          <w:lang w:eastAsia="en-AU"/>
        </w:rPr>
        <w:t>Task</w:t>
      </w:r>
    </w:p>
    <w:p w14:paraId="43E0DEBD" w14:textId="20D4D287" w:rsidR="00BD60B1" w:rsidRPr="00BD60B1" w:rsidRDefault="00BD60B1" w:rsidP="008F0EB7">
      <w:pPr>
        <w:spacing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 xml:space="preserve">Critically </w:t>
      </w:r>
      <w:r w:rsidR="008F0EB7">
        <w:rPr>
          <w:rFonts w:ascii="Times New Roman" w:eastAsia="Times New Roman" w:hAnsi="Times New Roman" w:cs="Times New Roman"/>
          <w:sz w:val="24"/>
          <w:szCs w:val="24"/>
          <w:lang w:eastAsia="en-AU"/>
        </w:rPr>
        <w:t>e</w:t>
      </w:r>
      <w:r w:rsidR="008F0EB7" w:rsidRPr="008F0EB7">
        <w:rPr>
          <w:rFonts w:ascii="Times New Roman" w:eastAsia="Times New Roman" w:hAnsi="Times New Roman" w:cs="Times New Roman"/>
          <w:sz w:val="24"/>
          <w:szCs w:val="24"/>
          <w:lang w:eastAsia="en-AU"/>
        </w:rPr>
        <w:t>valuate the effect of market liquidity and segmentation on the cost of capital</w:t>
      </w:r>
      <w:r w:rsidR="008F0EB7">
        <w:rPr>
          <w:rFonts w:ascii="Times New Roman" w:eastAsia="Times New Roman" w:hAnsi="Times New Roman" w:cs="Times New Roman"/>
          <w:sz w:val="24"/>
          <w:szCs w:val="24"/>
          <w:lang w:eastAsia="en-AU"/>
        </w:rPr>
        <w:t xml:space="preserve"> and c</w:t>
      </w:r>
      <w:r w:rsidR="008F0EB7" w:rsidRPr="008F0EB7">
        <w:rPr>
          <w:rFonts w:ascii="Times New Roman" w:eastAsia="Times New Roman" w:hAnsi="Times New Roman" w:cs="Times New Roman"/>
          <w:sz w:val="24"/>
          <w:szCs w:val="24"/>
          <w:lang w:eastAsia="en-AU"/>
        </w:rPr>
        <w:t>ompare the weighted average cost of capital for an MNE with its domestic</w:t>
      </w:r>
      <w:r w:rsidR="008F0EB7">
        <w:rPr>
          <w:rFonts w:ascii="Times New Roman" w:eastAsia="Times New Roman" w:hAnsi="Times New Roman" w:cs="Times New Roman"/>
          <w:sz w:val="24"/>
          <w:szCs w:val="24"/>
          <w:lang w:eastAsia="en-AU"/>
        </w:rPr>
        <w:t xml:space="preserve"> counterpart.  </w:t>
      </w:r>
      <w:r w:rsidRPr="00BD60B1">
        <w:rPr>
          <w:rFonts w:ascii="Times New Roman" w:eastAsia="Times New Roman" w:hAnsi="Times New Roman" w:cs="Times New Roman"/>
          <w:sz w:val="24"/>
          <w:szCs w:val="24"/>
          <w:lang w:eastAsia="en-AU"/>
        </w:rPr>
        <w:t>Use several company examples to support your discussion.</w:t>
      </w:r>
    </w:p>
    <w:p w14:paraId="24CDC16B" w14:textId="59AD4009" w:rsidR="00BD60B1" w:rsidRPr="00BD60B1" w:rsidRDefault="00BD60B1" w:rsidP="00BD60B1">
      <w:pPr>
        <w:spacing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b/>
          <w:bCs/>
          <w:i/>
          <w:iCs/>
          <w:sz w:val="24"/>
          <w:szCs w:val="24"/>
          <w:lang w:eastAsia="en-AU"/>
        </w:rPr>
        <w:t>Hint:</w:t>
      </w:r>
      <w:r w:rsidRPr="00BD60B1">
        <w:rPr>
          <w:rFonts w:ascii="Times New Roman" w:eastAsia="Times New Roman" w:hAnsi="Times New Roman" w:cs="Times New Roman"/>
          <w:sz w:val="24"/>
          <w:szCs w:val="24"/>
          <w:lang w:eastAsia="en-AU"/>
        </w:rPr>
        <w:t xml:space="preserve">   Use </w:t>
      </w:r>
      <w:r w:rsidR="008F0EB7">
        <w:rPr>
          <w:rFonts w:ascii="Times New Roman" w:eastAsia="Times New Roman" w:hAnsi="Times New Roman" w:cs="Times New Roman"/>
          <w:b/>
          <w:bCs/>
          <w:i/>
          <w:iCs/>
          <w:sz w:val="24"/>
          <w:szCs w:val="24"/>
          <w:lang w:eastAsia="en-AU"/>
        </w:rPr>
        <w:t>Chapter 13 and Topic 8</w:t>
      </w:r>
      <w:r w:rsidRPr="00BD60B1">
        <w:rPr>
          <w:rFonts w:ascii="Times New Roman" w:eastAsia="Times New Roman" w:hAnsi="Times New Roman" w:cs="Times New Roman"/>
          <w:sz w:val="24"/>
          <w:szCs w:val="24"/>
          <w:lang w:eastAsia="en-AU"/>
        </w:rPr>
        <w:t xml:space="preserve"> of your study guide as the sta</w:t>
      </w:r>
      <w:r>
        <w:rPr>
          <w:rFonts w:ascii="Times New Roman" w:eastAsia="Times New Roman" w:hAnsi="Times New Roman" w:cs="Times New Roman"/>
          <w:sz w:val="24"/>
          <w:szCs w:val="24"/>
          <w:lang w:eastAsia="en-AU"/>
        </w:rPr>
        <w:t xml:space="preserve">rting point for your research. </w:t>
      </w:r>
    </w:p>
    <w:p w14:paraId="0481E7A9" w14:textId="77777777" w:rsidR="00BD60B1" w:rsidRPr="00BD60B1" w:rsidRDefault="00BD60B1" w:rsidP="00BD60B1">
      <w:pPr>
        <w:spacing w:before="100" w:beforeAutospacing="1" w:after="100" w:afterAutospacing="1"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You must use information sources to support your discussion, such as websites, newspaper and magazine articles, journal articles, and books. Each information source used must be referenced correctly in the body of the paper, and in a reference list.</w:t>
      </w:r>
    </w:p>
    <w:p w14:paraId="6A2EE9DE" w14:textId="159DF8A4" w:rsidR="00BD60B1" w:rsidRDefault="00BD60B1" w:rsidP="00BD60B1">
      <w:pPr>
        <w:spacing w:before="100" w:beforeAutospacing="1" w:after="100" w:afterAutospacing="1" w:line="240" w:lineRule="auto"/>
        <w:rPr>
          <w:rFonts w:ascii="Times New Roman" w:eastAsia="Times New Roman" w:hAnsi="Times New Roman" w:cs="Times New Roman"/>
          <w:b/>
          <w:bCs/>
          <w:sz w:val="24"/>
          <w:szCs w:val="24"/>
          <w:lang w:eastAsia="en-AU"/>
        </w:rPr>
      </w:pPr>
      <w:r w:rsidRPr="00BD60B1">
        <w:rPr>
          <w:rFonts w:ascii="Times New Roman" w:eastAsia="Times New Roman" w:hAnsi="Times New Roman" w:cs="Times New Roman"/>
          <w:b/>
          <w:bCs/>
          <w:sz w:val="24"/>
          <w:szCs w:val="24"/>
          <w:lang w:eastAsia="en-AU"/>
        </w:rPr>
        <w:t>Please note that you should not use 'wiki' sites as references for this assignment. These sources may provide useful background reading, but they are not suitable as academic references.</w:t>
      </w:r>
    </w:p>
    <w:p w14:paraId="269571AE" w14:textId="77777777" w:rsidR="001E002E" w:rsidRDefault="001E002E">
      <w:pPr>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br w:type="page"/>
      </w:r>
    </w:p>
    <w:p w14:paraId="24CED912" w14:textId="2500B110" w:rsidR="00BD60B1" w:rsidRDefault="00BD60B1">
      <w:pPr>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lastRenderedPageBreak/>
        <w:t>Marking criteria</w:t>
      </w:r>
    </w:p>
    <w:tbl>
      <w:tblPr>
        <w:tblW w:w="148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43"/>
        <w:gridCol w:w="780"/>
        <w:gridCol w:w="3506"/>
        <w:gridCol w:w="1538"/>
        <w:gridCol w:w="2070"/>
        <w:gridCol w:w="2063"/>
        <w:gridCol w:w="2750"/>
      </w:tblGrid>
      <w:tr w:rsidR="00BD60B1" w:rsidRPr="00BD60B1" w14:paraId="0AFCB3D1" w14:textId="77777777" w:rsidTr="00BD60B1">
        <w:trPr>
          <w:tblCellSpacing w:w="0" w:type="dxa"/>
        </w:trPr>
        <w:tc>
          <w:tcPr>
            <w:tcW w:w="750" w:type="pct"/>
            <w:tcBorders>
              <w:top w:val="outset" w:sz="6" w:space="0" w:color="auto"/>
              <w:left w:val="outset" w:sz="6" w:space="0" w:color="auto"/>
              <w:bottom w:val="outset" w:sz="6" w:space="0" w:color="auto"/>
              <w:right w:val="outset" w:sz="6" w:space="0" w:color="auto"/>
            </w:tcBorders>
            <w:hideMark/>
          </w:tcPr>
          <w:p w14:paraId="2E6A3ED6"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p>
        </w:tc>
        <w:tc>
          <w:tcPr>
            <w:tcW w:w="300" w:type="pct"/>
            <w:tcBorders>
              <w:top w:val="outset" w:sz="6" w:space="0" w:color="auto"/>
              <w:left w:val="outset" w:sz="6" w:space="0" w:color="auto"/>
              <w:bottom w:val="outset" w:sz="6" w:space="0" w:color="auto"/>
              <w:right w:val="outset" w:sz="6" w:space="0" w:color="auto"/>
            </w:tcBorders>
            <w:hideMark/>
          </w:tcPr>
          <w:p w14:paraId="3CF97388"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Mark</w:t>
            </w:r>
          </w:p>
        </w:tc>
        <w:tc>
          <w:tcPr>
            <w:tcW w:w="1200" w:type="pct"/>
            <w:tcBorders>
              <w:top w:val="outset" w:sz="6" w:space="0" w:color="auto"/>
              <w:left w:val="outset" w:sz="6" w:space="0" w:color="auto"/>
              <w:bottom w:val="outset" w:sz="6" w:space="0" w:color="auto"/>
              <w:right w:val="outset" w:sz="6" w:space="0" w:color="auto"/>
            </w:tcBorders>
            <w:hideMark/>
          </w:tcPr>
          <w:p w14:paraId="48D1EF70"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HD</w:t>
            </w:r>
            <w:r w:rsidRPr="00BD60B1">
              <w:rPr>
                <w:rFonts w:ascii="Times New Roman" w:eastAsia="Times New Roman" w:hAnsi="Times New Roman" w:cs="Times New Roman"/>
                <w:sz w:val="24"/>
                <w:szCs w:val="24"/>
                <w:lang w:eastAsia="en-AU"/>
              </w:rPr>
              <w:br/>
              <w:t> 85-100%</w:t>
            </w:r>
          </w:p>
        </w:tc>
        <w:tc>
          <w:tcPr>
            <w:tcW w:w="550" w:type="pct"/>
            <w:tcBorders>
              <w:top w:val="outset" w:sz="6" w:space="0" w:color="auto"/>
              <w:left w:val="outset" w:sz="6" w:space="0" w:color="auto"/>
              <w:bottom w:val="outset" w:sz="6" w:space="0" w:color="auto"/>
              <w:right w:val="outset" w:sz="6" w:space="0" w:color="auto"/>
            </w:tcBorders>
            <w:hideMark/>
          </w:tcPr>
          <w:p w14:paraId="38DB7D05"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DI</w:t>
            </w:r>
            <w:r w:rsidRPr="00BD60B1">
              <w:rPr>
                <w:rFonts w:ascii="Times New Roman" w:eastAsia="Times New Roman" w:hAnsi="Times New Roman" w:cs="Times New Roman"/>
                <w:sz w:val="24"/>
                <w:szCs w:val="24"/>
                <w:lang w:eastAsia="en-AU"/>
              </w:rPr>
              <w:br/>
              <w:t> 75-84%</w:t>
            </w:r>
          </w:p>
        </w:tc>
        <w:tc>
          <w:tcPr>
            <w:tcW w:w="550" w:type="pct"/>
            <w:tcBorders>
              <w:top w:val="outset" w:sz="6" w:space="0" w:color="auto"/>
              <w:left w:val="outset" w:sz="6" w:space="0" w:color="auto"/>
              <w:bottom w:val="outset" w:sz="6" w:space="0" w:color="auto"/>
              <w:right w:val="outset" w:sz="6" w:space="0" w:color="auto"/>
            </w:tcBorders>
            <w:hideMark/>
          </w:tcPr>
          <w:p w14:paraId="575800C8"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CR</w:t>
            </w:r>
            <w:r w:rsidRPr="00BD60B1">
              <w:rPr>
                <w:rFonts w:ascii="Times New Roman" w:eastAsia="Times New Roman" w:hAnsi="Times New Roman" w:cs="Times New Roman"/>
                <w:sz w:val="24"/>
                <w:szCs w:val="24"/>
                <w:lang w:eastAsia="en-AU"/>
              </w:rPr>
              <w:br/>
              <w:t> 65-74%</w:t>
            </w:r>
          </w:p>
        </w:tc>
        <w:tc>
          <w:tcPr>
            <w:tcW w:w="600" w:type="pct"/>
            <w:tcBorders>
              <w:top w:val="outset" w:sz="6" w:space="0" w:color="auto"/>
              <w:left w:val="outset" w:sz="6" w:space="0" w:color="auto"/>
              <w:bottom w:val="outset" w:sz="6" w:space="0" w:color="auto"/>
              <w:right w:val="outset" w:sz="6" w:space="0" w:color="auto"/>
            </w:tcBorders>
            <w:hideMark/>
          </w:tcPr>
          <w:p w14:paraId="6622DBEF"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PS</w:t>
            </w:r>
            <w:r w:rsidRPr="00BD60B1">
              <w:rPr>
                <w:rFonts w:ascii="Times New Roman" w:eastAsia="Times New Roman" w:hAnsi="Times New Roman" w:cs="Times New Roman"/>
                <w:sz w:val="24"/>
                <w:szCs w:val="24"/>
                <w:lang w:eastAsia="en-AU"/>
              </w:rPr>
              <w:br/>
              <w:t> 50-64%</w:t>
            </w:r>
          </w:p>
        </w:tc>
        <w:tc>
          <w:tcPr>
            <w:tcW w:w="950" w:type="pct"/>
            <w:tcBorders>
              <w:top w:val="outset" w:sz="6" w:space="0" w:color="auto"/>
              <w:left w:val="outset" w:sz="6" w:space="0" w:color="auto"/>
              <w:bottom w:val="outset" w:sz="6" w:space="0" w:color="auto"/>
              <w:right w:val="outset" w:sz="6" w:space="0" w:color="auto"/>
            </w:tcBorders>
            <w:hideMark/>
          </w:tcPr>
          <w:p w14:paraId="625C5383"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FL</w:t>
            </w:r>
            <w:r w:rsidRPr="00BD60B1">
              <w:rPr>
                <w:rFonts w:ascii="Times New Roman" w:eastAsia="Times New Roman" w:hAnsi="Times New Roman" w:cs="Times New Roman"/>
                <w:sz w:val="24"/>
                <w:szCs w:val="24"/>
                <w:lang w:eastAsia="en-AU"/>
              </w:rPr>
              <w:br/>
              <w:t> 0-49%</w:t>
            </w:r>
          </w:p>
        </w:tc>
      </w:tr>
      <w:tr w:rsidR="00BD60B1" w:rsidRPr="00BD60B1" w14:paraId="6AEE1E6D" w14:textId="77777777" w:rsidTr="00BD60B1">
        <w:trPr>
          <w:tblCellSpacing w:w="0" w:type="dxa"/>
        </w:trPr>
        <w:tc>
          <w:tcPr>
            <w:tcW w:w="750" w:type="pct"/>
            <w:tcBorders>
              <w:top w:val="outset" w:sz="6" w:space="0" w:color="auto"/>
              <w:left w:val="outset" w:sz="6" w:space="0" w:color="auto"/>
              <w:bottom w:val="outset" w:sz="6" w:space="0" w:color="auto"/>
              <w:right w:val="outset" w:sz="6" w:space="0" w:color="auto"/>
            </w:tcBorders>
            <w:hideMark/>
          </w:tcPr>
          <w:p w14:paraId="1B8B09A2" w14:textId="0E8A6C73" w:rsidR="00BD60B1" w:rsidRPr="00BD60B1" w:rsidRDefault="008F0EB7" w:rsidP="00BD60B1">
            <w:pPr>
              <w:spacing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 xml:space="preserve">Critically </w:t>
            </w:r>
            <w:r>
              <w:rPr>
                <w:rFonts w:ascii="Times New Roman" w:eastAsia="Times New Roman" w:hAnsi="Times New Roman" w:cs="Times New Roman"/>
                <w:sz w:val="24"/>
                <w:szCs w:val="24"/>
                <w:lang w:eastAsia="en-AU"/>
              </w:rPr>
              <w:t>e</w:t>
            </w:r>
            <w:r w:rsidRPr="008F0EB7">
              <w:rPr>
                <w:rFonts w:ascii="Times New Roman" w:eastAsia="Times New Roman" w:hAnsi="Times New Roman" w:cs="Times New Roman"/>
                <w:sz w:val="24"/>
                <w:szCs w:val="24"/>
                <w:lang w:eastAsia="en-AU"/>
              </w:rPr>
              <w:t>valuate the effect of market liquidity and segmentation on the cost of capital</w:t>
            </w:r>
            <w:r>
              <w:rPr>
                <w:rFonts w:ascii="Times New Roman" w:eastAsia="Times New Roman" w:hAnsi="Times New Roman" w:cs="Times New Roman"/>
                <w:sz w:val="24"/>
                <w:szCs w:val="24"/>
                <w:lang w:eastAsia="en-AU"/>
              </w:rPr>
              <w:t xml:space="preserve"> and c</w:t>
            </w:r>
            <w:r w:rsidRPr="008F0EB7">
              <w:rPr>
                <w:rFonts w:ascii="Times New Roman" w:eastAsia="Times New Roman" w:hAnsi="Times New Roman" w:cs="Times New Roman"/>
                <w:sz w:val="24"/>
                <w:szCs w:val="24"/>
                <w:lang w:eastAsia="en-AU"/>
              </w:rPr>
              <w:t>ompare the weighted average cost of capital for an MNE with its domestic</w:t>
            </w:r>
            <w:r>
              <w:rPr>
                <w:rFonts w:ascii="Times New Roman" w:eastAsia="Times New Roman" w:hAnsi="Times New Roman" w:cs="Times New Roman"/>
                <w:sz w:val="24"/>
                <w:szCs w:val="24"/>
                <w:lang w:eastAsia="en-AU"/>
              </w:rPr>
              <w:t xml:space="preserve"> counterpart</w:t>
            </w:r>
            <w:r w:rsidR="00BD60B1" w:rsidRPr="00BD60B1">
              <w:rPr>
                <w:rFonts w:ascii="Times New Roman" w:eastAsia="Times New Roman" w:hAnsi="Times New Roman" w:cs="Times New Roman"/>
                <w:sz w:val="24"/>
                <w:szCs w:val="24"/>
                <w:lang w:eastAsia="en-AU"/>
              </w:rPr>
              <w:t>.</w:t>
            </w:r>
          </w:p>
          <w:p w14:paraId="3FFD41E0" w14:textId="2C932E8F" w:rsidR="00BD60B1" w:rsidRPr="00BD60B1" w:rsidRDefault="008F0EB7" w:rsidP="00BD60B1">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b/>
                <w:bCs/>
                <w:sz w:val="24"/>
                <w:szCs w:val="24"/>
                <w:lang w:eastAsia="en-AU"/>
              </w:rPr>
              <w:t>20</w:t>
            </w:r>
            <w:r w:rsidR="00BD60B1" w:rsidRPr="00BD60B1">
              <w:rPr>
                <w:rFonts w:ascii="Times New Roman" w:eastAsia="Times New Roman" w:hAnsi="Times New Roman" w:cs="Times New Roman"/>
                <w:b/>
                <w:bCs/>
                <w:sz w:val="24"/>
                <w:szCs w:val="24"/>
                <w:lang w:eastAsia="en-AU"/>
              </w:rPr>
              <w:t xml:space="preserve"> marks</w:t>
            </w:r>
          </w:p>
        </w:tc>
        <w:tc>
          <w:tcPr>
            <w:tcW w:w="300" w:type="pct"/>
            <w:tcBorders>
              <w:top w:val="outset" w:sz="6" w:space="0" w:color="auto"/>
              <w:left w:val="outset" w:sz="6" w:space="0" w:color="auto"/>
              <w:bottom w:val="outset" w:sz="6" w:space="0" w:color="auto"/>
              <w:right w:val="outset" w:sz="6" w:space="0" w:color="auto"/>
            </w:tcBorders>
            <w:hideMark/>
          </w:tcPr>
          <w:p w14:paraId="71D506CA"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p>
        </w:tc>
        <w:tc>
          <w:tcPr>
            <w:tcW w:w="1200" w:type="pct"/>
            <w:tcBorders>
              <w:top w:val="outset" w:sz="6" w:space="0" w:color="auto"/>
              <w:left w:val="outset" w:sz="6" w:space="0" w:color="auto"/>
              <w:bottom w:val="outset" w:sz="6" w:space="0" w:color="auto"/>
              <w:right w:val="outset" w:sz="6" w:space="0" w:color="auto"/>
            </w:tcBorders>
            <w:hideMark/>
          </w:tcPr>
          <w:p w14:paraId="14725A1D" w14:textId="4ABEE206" w:rsidR="00BD60B1" w:rsidRPr="00BD60B1" w:rsidRDefault="00BD60B1" w:rsidP="00BD60B1">
            <w:pPr>
              <w:spacing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 xml:space="preserve">Theory is well organised and clearly defined and discussed. Argument is presented in a clear and logical manner. Demonstrates clear understanding </w:t>
            </w:r>
            <w:r w:rsidR="008F0EB7">
              <w:rPr>
                <w:rFonts w:ascii="Times New Roman" w:eastAsia="Times New Roman" w:hAnsi="Times New Roman" w:cs="Times New Roman"/>
                <w:sz w:val="24"/>
                <w:szCs w:val="24"/>
                <w:lang w:eastAsia="en-AU"/>
              </w:rPr>
              <w:t xml:space="preserve">of </w:t>
            </w:r>
            <w:r w:rsidR="008F0EB7" w:rsidRPr="008F0EB7">
              <w:rPr>
                <w:rFonts w:ascii="Times New Roman" w:eastAsia="Times New Roman" w:hAnsi="Times New Roman" w:cs="Times New Roman"/>
                <w:sz w:val="24"/>
                <w:szCs w:val="24"/>
                <w:lang w:eastAsia="en-AU"/>
              </w:rPr>
              <w:t>the effect of market liquidity and segmentation on the cost of capital</w:t>
            </w:r>
            <w:r w:rsidR="008F0EB7">
              <w:rPr>
                <w:rFonts w:ascii="Times New Roman" w:eastAsia="Times New Roman" w:hAnsi="Times New Roman" w:cs="Times New Roman"/>
                <w:sz w:val="24"/>
                <w:szCs w:val="24"/>
                <w:lang w:eastAsia="en-AU"/>
              </w:rPr>
              <w:t xml:space="preserve"> and </w:t>
            </w:r>
            <w:r w:rsidR="008F0EB7" w:rsidRPr="008F0EB7">
              <w:rPr>
                <w:rFonts w:ascii="Times New Roman" w:eastAsia="Times New Roman" w:hAnsi="Times New Roman" w:cs="Times New Roman"/>
                <w:sz w:val="24"/>
                <w:szCs w:val="24"/>
                <w:lang w:eastAsia="en-AU"/>
              </w:rPr>
              <w:t xml:space="preserve">the weighted average cost of capital for an MNE </w:t>
            </w:r>
            <w:r w:rsidR="008F0EB7">
              <w:rPr>
                <w:rFonts w:ascii="Times New Roman" w:eastAsia="Times New Roman" w:hAnsi="Times New Roman" w:cs="Times New Roman"/>
                <w:sz w:val="24"/>
                <w:szCs w:val="24"/>
                <w:lang w:eastAsia="en-AU"/>
              </w:rPr>
              <w:t xml:space="preserve">compared </w:t>
            </w:r>
            <w:r w:rsidR="008F0EB7" w:rsidRPr="008F0EB7">
              <w:rPr>
                <w:rFonts w:ascii="Times New Roman" w:eastAsia="Times New Roman" w:hAnsi="Times New Roman" w:cs="Times New Roman"/>
                <w:sz w:val="24"/>
                <w:szCs w:val="24"/>
                <w:lang w:eastAsia="en-AU"/>
              </w:rPr>
              <w:t>with its domestic</w:t>
            </w:r>
            <w:r w:rsidR="008F0EB7">
              <w:rPr>
                <w:rFonts w:ascii="Times New Roman" w:eastAsia="Times New Roman" w:hAnsi="Times New Roman" w:cs="Times New Roman"/>
                <w:sz w:val="24"/>
                <w:szCs w:val="24"/>
                <w:lang w:eastAsia="en-AU"/>
              </w:rPr>
              <w:t xml:space="preserve"> counterpart</w:t>
            </w:r>
            <w:r w:rsidRPr="00BD60B1">
              <w:rPr>
                <w:rFonts w:ascii="Times New Roman" w:eastAsia="Times New Roman" w:hAnsi="Times New Roman" w:cs="Times New Roman"/>
                <w:sz w:val="24"/>
                <w:szCs w:val="24"/>
                <w:lang w:eastAsia="en-AU"/>
              </w:rPr>
              <w:t>. (8.5-10 marks)</w:t>
            </w:r>
          </w:p>
        </w:tc>
        <w:tc>
          <w:tcPr>
            <w:tcW w:w="550" w:type="pct"/>
            <w:tcBorders>
              <w:top w:val="outset" w:sz="6" w:space="0" w:color="auto"/>
              <w:left w:val="outset" w:sz="6" w:space="0" w:color="auto"/>
              <w:bottom w:val="outset" w:sz="6" w:space="0" w:color="auto"/>
              <w:right w:val="outset" w:sz="6" w:space="0" w:color="auto"/>
            </w:tcBorders>
            <w:hideMark/>
          </w:tcPr>
          <w:p w14:paraId="01F7BF37" w14:textId="540C8068" w:rsidR="00BD60B1" w:rsidRPr="00BD60B1" w:rsidRDefault="00BD60B1" w:rsidP="00BD60B1">
            <w:pPr>
              <w:spacing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More detailed and expansive discussion is offered </w:t>
            </w:r>
            <w:r w:rsidR="008F0EB7">
              <w:rPr>
                <w:rFonts w:ascii="Times New Roman" w:eastAsia="Times New Roman" w:hAnsi="Times New Roman" w:cs="Times New Roman"/>
                <w:sz w:val="24"/>
                <w:szCs w:val="24"/>
                <w:lang w:eastAsia="en-AU"/>
              </w:rPr>
              <w:t xml:space="preserve">of </w:t>
            </w:r>
            <w:r w:rsidR="008F0EB7" w:rsidRPr="008F0EB7">
              <w:rPr>
                <w:rFonts w:ascii="Times New Roman" w:eastAsia="Times New Roman" w:hAnsi="Times New Roman" w:cs="Times New Roman"/>
                <w:sz w:val="24"/>
                <w:szCs w:val="24"/>
                <w:lang w:eastAsia="en-AU"/>
              </w:rPr>
              <w:t>the effect of market liquidity and segmentation on the cost of capital</w:t>
            </w:r>
            <w:r w:rsidR="008F0EB7">
              <w:rPr>
                <w:rFonts w:ascii="Times New Roman" w:eastAsia="Times New Roman" w:hAnsi="Times New Roman" w:cs="Times New Roman"/>
                <w:sz w:val="24"/>
                <w:szCs w:val="24"/>
                <w:lang w:eastAsia="en-AU"/>
              </w:rPr>
              <w:t xml:space="preserve"> and </w:t>
            </w:r>
            <w:r w:rsidR="008F0EB7" w:rsidRPr="008F0EB7">
              <w:rPr>
                <w:rFonts w:ascii="Times New Roman" w:eastAsia="Times New Roman" w:hAnsi="Times New Roman" w:cs="Times New Roman"/>
                <w:sz w:val="24"/>
                <w:szCs w:val="24"/>
                <w:lang w:eastAsia="en-AU"/>
              </w:rPr>
              <w:t xml:space="preserve">the weighted average cost of capital for an MNE </w:t>
            </w:r>
            <w:r w:rsidR="008F0EB7">
              <w:rPr>
                <w:rFonts w:ascii="Times New Roman" w:eastAsia="Times New Roman" w:hAnsi="Times New Roman" w:cs="Times New Roman"/>
                <w:sz w:val="24"/>
                <w:szCs w:val="24"/>
                <w:lang w:eastAsia="en-AU"/>
              </w:rPr>
              <w:t xml:space="preserve">compared </w:t>
            </w:r>
            <w:r w:rsidR="008F0EB7" w:rsidRPr="008F0EB7">
              <w:rPr>
                <w:rFonts w:ascii="Times New Roman" w:eastAsia="Times New Roman" w:hAnsi="Times New Roman" w:cs="Times New Roman"/>
                <w:sz w:val="24"/>
                <w:szCs w:val="24"/>
                <w:lang w:eastAsia="en-AU"/>
              </w:rPr>
              <w:t>with its domestic</w:t>
            </w:r>
            <w:r w:rsidR="008F0EB7">
              <w:rPr>
                <w:rFonts w:ascii="Times New Roman" w:eastAsia="Times New Roman" w:hAnsi="Times New Roman" w:cs="Times New Roman"/>
                <w:sz w:val="24"/>
                <w:szCs w:val="24"/>
                <w:lang w:eastAsia="en-AU"/>
              </w:rPr>
              <w:t xml:space="preserve"> counterpart</w:t>
            </w:r>
            <w:r w:rsidRPr="00BD60B1">
              <w:rPr>
                <w:rFonts w:ascii="Times New Roman" w:eastAsia="Times New Roman" w:hAnsi="Times New Roman" w:cs="Times New Roman"/>
                <w:sz w:val="24"/>
                <w:szCs w:val="24"/>
                <w:lang w:eastAsia="en-AU"/>
              </w:rPr>
              <w:t>. Their opinions and arguments are logical, convincing and backed with a suitable range of references. (7.5-8.0 marks)</w:t>
            </w:r>
          </w:p>
          <w:p w14:paraId="186F48B2"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p>
          <w:p w14:paraId="0044927D"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p>
        </w:tc>
        <w:tc>
          <w:tcPr>
            <w:tcW w:w="550" w:type="pct"/>
            <w:tcBorders>
              <w:top w:val="outset" w:sz="6" w:space="0" w:color="auto"/>
              <w:left w:val="outset" w:sz="6" w:space="0" w:color="auto"/>
              <w:bottom w:val="outset" w:sz="6" w:space="0" w:color="auto"/>
              <w:right w:val="outset" w:sz="6" w:space="0" w:color="auto"/>
            </w:tcBorders>
            <w:hideMark/>
          </w:tcPr>
          <w:p w14:paraId="61B463E7" w14:textId="48AB9297" w:rsidR="00BD60B1" w:rsidRPr="00BD60B1" w:rsidRDefault="00BD60B1" w:rsidP="00BD60B1">
            <w:pPr>
              <w:spacing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 xml:space="preserve">Reasonable coverage and discussion offered as to </w:t>
            </w:r>
            <w:r w:rsidR="008F0EB7" w:rsidRPr="008F0EB7">
              <w:rPr>
                <w:rFonts w:ascii="Times New Roman" w:eastAsia="Times New Roman" w:hAnsi="Times New Roman" w:cs="Times New Roman"/>
                <w:sz w:val="24"/>
                <w:szCs w:val="24"/>
                <w:lang w:eastAsia="en-AU"/>
              </w:rPr>
              <w:t>the effect of market liquidity and segmentation on the cost of capital</w:t>
            </w:r>
            <w:r w:rsidR="008F0EB7">
              <w:rPr>
                <w:rFonts w:ascii="Times New Roman" w:eastAsia="Times New Roman" w:hAnsi="Times New Roman" w:cs="Times New Roman"/>
                <w:sz w:val="24"/>
                <w:szCs w:val="24"/>
                <w:lang w:eastAsia="en-AU"/>
              </w:rPr>
              <w:t xml:space="preserve"> and </w:t>
            </w:r>
            <w:r w:rsidR="008F0EB7" w:rsidRPr="008F0EB7">
              <w:rPr>
                <w:rFonts w:ascii="Times New Roman" w:eastAsia="Times New Roman" w:hAnsi="Times New Roman" w:cs="Times New Roman"/>
                <w:sz w:val="24"/>
                <w:szCs w:val="24"/>
                <w:lang w:eastAsia="en-AU"/>
              </w:rPr>
              <w:t xml:space="preserve">the weighted average cost of capital for an MNE </w:t>
            </w:r>
            <w:r w:rsidR="008F0EB7">
              <w:rPr>
                <w:rFonts w:ascii="Times New Roman" w:eastAsia="Times New Roman" w:hAnsi="Times New Roman" w:cs="Times New Roman"/>
                <w:sz w:val="24"/>
                <w:szCs w:val="24"/>
                <w:lang w:eastAsia="en-AU"/>
              </w:rPr>
              <w:t xml:space="preserve">compared </w:t>
            </w:r>
            <w:r w:rsidR="008F0EB7" w:rsidRPr="008F0EB7">
              <w:rPr>
                <w:rFonts w:ascii="Times New Roman" w:eastAsia="Times New Roman" w:hAnsi="Times New Roman" w:cs="Times New Roman"/>
                <w:sz w:val="24"/>
                <w:szCs w:val="24"/>
                <w:lang w:eastAsia="en-AU"/>
              </w:rPr>
              <w:t>with its domestic</w:t>
            </w:r>
            <w:r w:rsidR="008F0EB7">
              <w:rPr>
                <w:rFonts w:ascii="Times New Roman" w:eastAsia="Times New Roman" w:hAnsi="Times New Roman" w:cs="Times New Roman"/>
                <w:sz w:val="24"/>
                <w:szCs w:val="24"/>
                <w:lang w:eastAsia="en-AU"/>
              </w:rPr>
              <w:t xml:space="preserve"> counterpart</w:t>
            </w:r>
            <w:r w:rsidRPr="00BD60B1">
              <w:rPr>
                <w:rFonts w:ascii="Times New Roman" w:eastAsia="Times New Roman" w:hAnsi="Times New Roman" w:cs="Times New Roman"/>
                <w:sz w:val="24"/>
                <w:szCs w:val="24"/>
                <w:lang w:eastAsia="en-AU"/>
              </w:rPr>
              <w:t>. Personal opinion is evident but not necessarily always fully supported by references. (6.5-7.0 marks)</w:t>
            </w:r>
          </w:p>
        </w:tc>
        <w:tc>
          <w:tcPr>
            <w:tcW w:w="600" w:type="pct"/>
            <w:tcBorders>
              <w:top w:val="outset" w:sz="6" w:space="0" w:color="auto"/>
              <w:left w:val="outset" w:sz="6" w:space="0" w:color="auto"/>
              <w:bottom w:val="outset" w:sz="6" w:space="0" w:color="auto"/>
              <w:right w:val="outset" w:sz="6" w:space="0" w:color="auto"/>
            </w:tcBorders>
            <w:hideMark/>
          </w:tcPr>
          <w:p w14:paraId="60699259" w14:textId="640242B0" w:rsidR="00BD60B1" w:rsidRPr="00BD60B1" w:rsidRDefault="00BD60B1" w:rsidP="00BD60B1">
            <w:pPr>
              <w:spacing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Basic understanding </w:t>
            </w:r>
            <w:r w:rsidR="008F0EB7">
              <w:rPr>
                <w:rFonts w:ascii="Times New Roman" w:eastAsia="Times New Roman" w:hAnsi="Times New Roman" w:cs="Times New Roman"/>
                <w:sz w:val="24"/>
                <w:szCs w:val="24"/>
                <w:lang w:eastAsia="en-AU"/>
              </w:rPr>
              <w:t xml:space="preserve">of </w:t>
            </w:r>
            <w:r w:rsidR="008F0EB7" w:rsidRPr="008F0EB7">
              <w:rPr>
                <w:rFonts w:ascii="Times New Roman" w:eastAsia="Times New Roman" w:hAnsi="Times New Roman" w:cs="Times New Roman"/>
                <w:sz w:val="24"/>
                <w:szCs w:val="24"/>
                <w:lang w:eastAsia="en-AU"/>
              </w:rPr>
              <w:t>the effect of market liquidity and segmentation on the cost of capital</w:t>
            </w:r>
            <w:r w:rsidR="008F0EB7">
              <w:rPr>
                <w:rFonts w:ascii="Times New Roman" w:eastAsia="Times New Roman" w:hAnsi="Times New Roman" w:cs="Times New Roman"/>
                <w:sz w:val="24"/>
                <w:szCs w:val="24"/>
                <w:lang w:eastAsia="en-AU"/>
              </w:rPr>
              <w:t xml:space="preserve"> and </w:t>
            </w:r>
            <w:r w:rsidR="008F0EB7" w:rsidRPr="008F0EB7">
              <w:rPr>
                <w:rFonts w:ascii="Times New Roman" w:eastAsia="Times New Roman" w:hAnsi="Times New Roman" w:cs="Times New Roman"/>
                <w:sz w:val="24"/>
                <w:szCs w:val="24"/>
                <w:lang w:eastAsia="en-AU"/>
              </w:rPr>
              <w:t xml:space="preserve">the weighted average cost of capital for an MNE </w:t>
            </w:r>
            <w:r w:rsidR="008F0EB7">
              <w:rPr>
                <w:rFonts w:ascii="Times New Roman" w:eastAsia="Times New Roman" w:hAnsi="Times New Roman" w:cs="Times New Roman"/>
                <w:sz w:val="24"/>
                <w:szCs w:val="24"/>
                <w:lang w:eastAsia="en-AU"/>
              </w:rPr>
              <w:t xml:space="preserve">compared </w:t>
            </w:r>
            <w:r w:rsidR="008F0EB7" w:rsidRPr="008F0EB7">
              <w:rPr>
                <w:rFonts w:ascii="Times New Roman" w:eastAsia="Times New Roman" w:hAnsi="Times New Roman" w:cs="Times New Roman"/>
                <w:sz w:val="24"/>
                <w:szCs w:val="24"/>
                <w:lang w:eastAsia="en-AU"/>
              </w:rPr>
              <w:t>with its domestic</w:t>
            </w:r>
            <w:r w:rsidR="008F0EB7">
              <w:rPr>
                <w:rFonts w:ascii="Times New Roman" w:eastAsia="Times New Roman" w:hAnsi="Times New Roman" w:cs="Times New Roman"/>
                <w:sz w:val="24"/>
                <w:szCs w:val="24"/>
                <w:lang w:eastAsia="en-AU"/>
              </w:rPr>
              <w:t xml:space="preserve"> counterpart</w:t>
            </w:r>
            <w:r w:rsidRPr="00BD60B1">
              <w:rPr>
                <w:rFonts w:ascii="Times New Roman" w:eastAsia="Times New Roman" w:hAnsi="Times New Roman" w:cs="Times New Roman"/>
                <w:sz w:val="24"/>
                <w:szCs w:val="24"/>
                <w:lang w:eastAsia="en-AU"/>
              </w:rPr>
              <w:t>.  Limited support or backing is offered for their opinions. (5.0-6.0 marks)</w:t>
            </w:r>
          </w:p>
        </w:tc>
        <w:tc>
          <w:tcPr>
            <w:tcW w:w="950" w:type="pct"/>
            <w:tcBorders>
              <w:top w:val="outset" w:sz="6" w:space="0" w:color="auto"/>
              <w:left w:val="outset" w:sz="6" w:space="0" w:color="auto"/>
              <w:bottom w:val="outset" w:sz="6" w:space="0" w:color="auto"/>
              <w:right w:val="outset" w:sz="6" w:space="0" w:color="auto"/>
            </w:tcBorders>
            <w:hideMark/>
          </w:tcPr>
          <w:p w14:paraId="4D204B1B" w14:textId="3954AB7C"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Theory is not clearly defined or described.  Shows weak understanding </w:t>
            </w:r>
            <w:r w:rsidR="008F0EB7">
              <w:rPr>
                <w:rFonts w:ascii="Times New Roman" w:eastAsia="Times New Roman" w:hAnsi="Times New Roman" w:cs="Times New Roman"/>
                <w:sz w:val="24"/>
                <w:szCs w:val="24"/>
                <w:lang w:eastAsia="en-AU"/>
              </w:rPr>
              <w:t xml:space="preserve">of </w:t>
            </w:r>
            <w:r w:rsidR="008F0EB7" w:rsidRPr="008F0EB7">
              <w:rPr>
                <w:rFonts w:ascii="Times New Roman" w:eastAsia="Times New Roman" w:hAnsi="Times New Roman" w:cs="Times New Roman"/>
                <w:sz w:val="24"/>
                <w:szCs w:val="24"/>
                <w:lang w:eastAsia="en-AU"/>
              </w:rPr>
              <w:t>the effect of market liquidity and segmentation on the cost of capital</w:t>
            </w:r>
            <w:r w:rsidR="008F0EB7">
              <w:rPr>
                <w:rFonts w:ascii="Times New Roman" w:eastAsia="Times New Roman" w:hAnsi="Times New Roman" w:cs="Times New Roman"/>
                <w:sz w:val="24"/>
                <w:szCs w:val="24"/>
                <w:lang w:eastAsia="en-AU"/>
              </w:rPr>
              <w:t xml:space="preserve"> and </w:t>
            </w:r>
            <w:r w:rsidR="008F0EB7" w:rsidRPr="008F0EB7">
              <w:rPr>
                <w:rFonts w:ascii="Times New Roman" w:eastAsia="Times New Roman" w:hAnsi="Times New Roman" w:cs="Times New Roman"/>
                <w:sz w:val="24"/>
                <w:szCs w:val="24"/>
                <w:lang w:eastAsia="en-AU"/>
              </w:rPr>
              <w:t xml:space="preserve">the weighted average cost of capital for an MNE </w:t>
            </w:r>
            <w:r w:rsidR="008F0EB7">
              <w:rPr>
                <w:rFonts w:ascii="Times New Roman" w:eastAsia="Times New Roman" w:hAnsi="Times New Roman" w:cs="Times New Roman"/>
                <w:sz w:val="24"/>
                <w:szCs w:val="24"/>
                <w:lang w:eastAsia="en-AU"/>
              </w:rPr>
              <w:t xml:space="preserve">compared </w:t>
            </w:r>
            <w:r w:rsidR="008F0EB7" w:rsidRPr="008F0EB7">
              <w:rPr>
                <w:rFonts w:ascii="Times New Roman" w:eastAsia="Times New Roman" w:hAnsi="Times New Roman" w:cs="Times New Roman"/>
                <w:sz w:val="24"/>
                <w:szCs w:val="24"/>
                <w:lang w:eastAsia="en-AU"/>
              </w:rPr>
              <w:t>with its domestic</w:t>
            </w:r>
            <w:r w:rsidR="008F0EB7">
              <w:rPr>
                <w:rFonts w:ascii="Times New Roman" w:eastAsia="Times New Roman" w:hAnsi="Times New Roman" w:cs="Times New Roman"/>
                <w:sz w:val="24"/>
                <w:szCs w:val="24"/>
                <w:lang w:eastAsia="en-AU"/>
              </w:rPr>
              <w:t xml:space="preserve"> counterpart</w:t>
            </w:r>
            <w:r w:rsidRPr="00BD60B1">
              <w:rPr>
                <w:rFonts w:ascii="Times New Roman" w:eastAsia="Times New Roman" w:hAnsi="Times New Roman" w:cs="Times New Roman"/>
                <w:sz w:val="24"/>
                <w:szCs w:val="24"/>
                <w:lang w:eastAsia="en-AU"/>
              </w:rPr>
              <w:t>. (0-4.5 marks)</w:t>
            </w:r>
          </w:p>
        </w:tc>
      </w:tr>
      <w:tr w:rsidR="00BD60B1" w:rsidRPr="00BD60B1" w14:paraId="7336A246" w14:textId="77777777" w:rsidTr="00BD60B1">
        <w:trPr>
          <w:tblCellSpacing w:w="0" w:type="dxa"/>
        </w:trPr>
        <w:tc>
          <w:tcPr>
            <w:tcW w:w="750" w:type="pct"/>
            <w:tcBorders>
              <w:top w:val="outset" w:sz="6" w:space="0" w:color="auto"/>
              <w:left w:val="outset" w:sz="6" w:space="0" w:color="auto"/>
              <w:bottom w:val="outset" w:sz="6" w:space="0" w:color="auto"/>
              <w:right w:val="outset" w:sz="6" w:space="0" w:color="auto"/>
            </w:tcBorders>
            <w:hideMark/>
          </w:tcPr>
          <w:p w14:paraId="4C1230B6" w14:textId="64D02360"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lastRenderedPageBreak/>
              <w:t>Ability to apply theory to examples (use of example in answering the questions)</w:t>
            </w:r>
            <w:r w:rsidRPr="00BD60B1">
              <w:rPr>
                <w:rFonts w:ascii="Times New Roman" w:eastAsia="Times New Roman" w:hAnsi="Times New Roman" w:cs="Times New Roman"/>
                <w:sz w:val="24"/>
                <w:szCs w:val="24"/>
                <w:lang w:eastAsia="en-AU"/>
              </w:rPr>
              <w:br/>
            </w:r>
            <w:r w:rsidR="008F0EB7">
              <w:rPr>
                <w:rFonts w:ascii="Times New Roman" w:eastAsia="Times New Roman" w:hAnsi="Times New Roman" w:cs="Times New Roman"/>
                <w:sz w:val="24"/>
                <w:szCs w:val="24"/>
                <w:lang w:eastAsia="en-AU"/>
              </w:rPr>
              <w:t>20</w:t>
            </w:r>
            <w:r w:rsidRPr="00BD60B1">
              <w:rPr>
                <w:rFonts w:ascii="Times New Roman" w:eastAsia="Times New Roman" w:hAnsi="Times New Roman" w:cs="Times New Roman"/>
                <w:b/>
                <w:bCs/>
                <w:sz w:val="24"/>
                <w:szCs w:val="24"/>
                <w:lang w:eastAsia="en-AU"/>
              </w:rPr>
              <w:t> marks</w:t>
            </w:r>
          </w:p>
        </w:tc>
        <w:tc>
          <w:tcPr>
            <w:tcW w:w="300" w:type="pct"/>
            <w:tcBorders>
              <w:top w:val="outset" w:sz="6" w:space="0" w:color="auto"/>
              <w:left w:val="outset" w:sz="6" w:space="0" w:color="auto"/>
              <w:bottom w:val="outset" w:sz="6" w:space="0" w:color="auto"/>
              <w:right w:val="outset" w:sz="6" w:space="0" w:color="auto"/>
            </w:tcBorders>
            <w:hideMark/>
          </w:tcPr>
          <w:p w14:paraId="70E38C5B"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p>
        </w:tc>
        <w:tc>
          <w:tcPr>
            <w:tcW w:w="1200" w:type="pct"/>
            <w:tcBorders>
              <w:top w:val="outset" w:sz="6" w:space="0" w:color="auto"/>
              <w:left w:val="outset" w:sz="6" w:space="0" w:color="auto"/>
              <w:bottom w:val="outset" w:sz="6" w:space="0" w:color="auto"/>
              <w:right w:val="outset" w:sz="6" w:space="0" w:color="auto"/>
            </w:tcBorders>
            <w:hideMark/>
          </w:tcPr>
          <w:p w14:paraId="648C81E2"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Examples show clear understanding of linkages from theory to practice.  Individual opinion and commentary is offered. (8.5-10 marks)</w:t>
            </w:r>
          </w:p>
        </w:tc>
        <w:tc>
          <w:tcPr>
            <w:tcW w:w="550" w:type="pct"/>
            <w:tcBorders>
              <w:top w:val="outset" w:sz="6" w:space="0" w:color="auto"/>
              <w:left w:val="outset" w:sz="6" w:space="0" w:color="auto"/>
              <w:bottom w:val="outset" w:sz="6" w:space="0" w:color="auto"/>
              <w:right w:val="outset" w:sz="6" w:space="0" w:color="auto"/>
            </w:tcBorders>
            <w:hideMark/>
          </w:tcPr>
          <w:p w14:paraId="7D5F9AA2"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A broad range of examples are explained and used to demonstrate a good understanding of theory.  (7.5-8.0 marks)</w:t>
            </w:r>
          </w:p>
        </w:tc>
        <w:tc>
          <w:tcPr>
            <w:tcW w:w="550" w:type="pct"/>
            <w:tcBorders>
              <w:top w:val="outset" w:sz="6" w:space="0" w:color="auto"/>
              <w:left w:val="outset" w:sz="6" w:space="0" w:color="auto"/>
              <w:bottom w:val="outset" w:sz="6" w:space="0" w:color="auto"/>
              <w:right w:val="outset" w:sz="6" w:space="0" w:color="auto"/>
            </w:tcBorders>
            <w:hideMark/>
          </w:tcPr>
          <w:p w14:paraId="57BC2965"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Relevant examples are explained and linked to theory. (6.5-7.0 marks)</w:t>
            </w:r>
          </w:p>
        </w:tc>
        <w:tc>
          <w:tcPr>
            <w:tcW w:w="600" w:type="pct"/>
            <w:tcBorders>
              <w:top w:val="outset" w:sz="6" w:space="0" w:color="auto"/>
              <w:left w:val="outset" w:sz="6" w:space="0" w:color="auto"/>
              <w:bottom w:val="outset" w:sz="6" w:space="0" w:color="auto"/>
              <w:right w:val="outset" w:sz="6" w:space="0" w:color="auto"/>
            </w:tcBorders>
            <w:hideMark/>
          </w:tcPr>
          <w:p w14:paraId="688CDAEF"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Examples are mentioned and explained but only at a rudimentary level. (5.0-6.0 marks)</w:t>
            </w:r>
          </w:p>
        </w:tc>
        <w:tc>
          <w:tcPr>
            <w:tcW w:w="950" w:type="pct"/>
            <w:tcBorders>
              <w:top w:val="outset" w:sz="6" w:space="0" w:color="auto"/>
              <w:left w:val="outset" w:sz="6" w:space="0" w:color="auto"/>
              <w:bottom w:val="outset" w:sz="6" w:space="0" w:color="auto"/>
              <w:right w:val="outset" w:sz="6" w:space="0" w:color="auto"/>
            </w:tcBorders>
            <w:hideMark/>
          </w:tcPr>
          <w:p w14:paraId="7EB7FB75"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Did not connect theory with an example, did not explain or link the activities of an example with theory. No examples provided. (0-4.5 marks)</w:t>
            </w:r>
          </w:p>
        </w:tc>
      </w:tr>
      <w:tr w:rsidR="00BD60B1" w:rsidRPr="00BD60B1" w14:paraId="6F8D2543" w14:textId="77777777" w:rsidTr="00BD60B1">
        <w:trPr>
          <w:tblCellSpacing w:w="0" w:type="dxa"/>
        </w:trPr>
        <w:tc>
          <w:tcPr>
            <w:tcW w:w="750" w:type="pct"/>
            <w:tcBorders>
              <w:top w:val="outset" w:sz="6" w:space="0" w:color="auto"/>
              <w:left w:val="outset" w:sz="6" w:space="0" w:color="auto"/>
              <w:bottom w:val="outset" w:sz="6" w:space="0" w:color="auto"/>
              <w:right w:val="outset" w:sz="6" w:space="0" w:color="auto"/>
            </w:tcBorders>
            <w:hideMark/>
          </w:tcPr>
          <w:p w14:paraId="11FC517E"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Presentation: structure (including introduction and</w:t>
            </w:r>
          </w:p>
          <w:p w14:paraId="17CEFE35"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conclusion), formatting, spelling and grammar</w:t>
            </w:r>
          </w:p>
          <w:p w14:paraId="7AFAE9E7" w14:textId="3CC1E452" w:rsidR="00BD60B1" w:rsidRPr="00BD60B1" w:rsidRDefault="008F0EB7" w:rsidP="00BD60B1">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b/>
                <w:bCs/>
                <w:sz w:val="24"/>
                <w:szCs w:val="24"/>
                <w:lang w:eastAsia="en-AU"/>
              </w:rPr>
              <w:t>5</w:t>
            </w:r>
            <w:r w:rsidR="00BD60B1" w:rsidRPr="00BD60B1">
              <w:rPr>
                <w:rFonts w:ascii="Times New Roman" w:eastAsia="Times New Roman" w:hAnsi="Times New Roman" w:cs="Times New Roman"/>
                <w:b/>
                <w:bCs/>
                <w:sz w:val="24"/>
                <w:szCs w:val="24"/>
                <w:lang w:eastAsia="en-AU"/>
              </w:rPr>
              <w:t xml:space="preserve"> marks</w:t>
            </w:r>
          </w:p>
        </w:tc>
        <w:tc>
          <w:tcPr>
            <w:tcW w:w="300" w:type="pct"/>
            <w:tcBorders>
              <w:top w:val="outset" w:sz="6" w:space="0" w:color="auto"/>
              <w:left w:val="outset" w:sz="6" w:space="0" w:color="auto"/>
              <w:bottom w:val="outset" w:sz="6" w:space="0" w:color="auto"/>
              <w:right w:val="outset" w:sz="6" w:space="0" w:color="auto"/>
            </w:tcBorders>
            <w:hideMark/>
          </w:tcPr>
          <w:p w14:paraId="06EC3B08"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p>
        </w:tc>
        <w:tc>
          <w:tcPr>
            <w:tcW w:w="1200" w:type="pct"/>
            <w:tcBorders>
              <w:top w:val="outset" w:sz="6" w:space="0" w:color="auto"/>
              <w:left w:val="outset" w:sz="6" w:space="0" w:color="auto"/>
              <w:bottom w:val="outset" w:sz="6" w:space="0" w:color="auto"/>
              <w:right w:val="outset" w:sz="6" w:space="0" w:color="auto"/>
            </w:tcBorders>
            <w:hideMark/>
          </w:tcPr>
          <w:p w14:paraId="2FA15BFA"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Writing style is clear and academic.</w:t>
            </w:r>
          </w:p>
          <w:p w14:paraId="5C5256E4"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Attention to spelling and grammar.</w:t>
            </w:r>
          </w:p>
          <w:p w14:paraId="5DDC5732"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Professional standard of presentation, good layout and use of headings. Includes good introduction and conclusion. (4.5-5 marks)</w:t>
            </w:r>
          </w:p>
        </w:tc>
        <w:tc>
          <w:tcPr>
            <w:tcW w:w="550" w:type="pct"/>
            <w:tcBorders>
              <w:top w:val="outset" w:sz="6" w:space="0" w:color="auto"/>
              <w:left w:val="outset" w:sz="6" w:space="0" w:color="auto"/>
              <w:bottom w:val="outset" w:sz="6" w:space="0" w:color="auto"/>
              <w:right w:val="outset" w:sz="6" w:space="0" w:color="auto"/>
            </w:tcBorders>
            <w:hideMark/>
          </w:tcPr>
          <w:p w14:paraId="690A085B"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Expression and presentation of ideas are mainly accurate.</w:t>
            </w:r>
            <w:r w:rsidRPr="00BD60B1">
              <w:rPr>
                <w:rFonts w:ascii="Times New Roman" w:eastAsia="Times New Roman" w:hAnsi="Times New Roman" w:cs="Times New Roman"/>
                <w:sz w:val="24"/>
                <w:szCs w:val="24"/>
                <w:lang w:eastAsia="en-AU"/>
              </w:rPr>
              <w:br/>
              <w:t> Fluent writing style appropriate to the assessment item.</w:t>
            </w:r>
            <w:r w:rsidRPr="00BD60B1">
              <w:rPr>
                <w:rFonts w:ascii="Times New Roman" w:eastAsia="Times New Roman" w:hAnsi="Times New Roman" w:cs="Times New Roman"/>
                <w:sz w:val="24"/>
                <w:szCs w:val="24"/>
                <w:lang w:eastAsia="en-AU"/>
              </w:rPr>
              <w:br/>
              <w:t> Grammar, format and spelling are accurate. (4 marks)</w:t>
            </w:r>
            <w:r w:rsidRPr="00BD60B1">
              <w:rPr>
                <w:rFonts w:ascii="Times New Roman" w:eastAsia="Times New Roman" w:hAnsi="Times New Roman" w:cs="Times New Roman"/>
                <w:sz w:val="24"/>
                <w:szCs w:val="24"/>
                <w:lang w:eastAsia="en-AU"/>
              </w:rPr>
              <w:br/>
              <w:t>  </w:t>
            </w:r>
          </w:p>
        </w:tc>
        <w:tc>
          <w:tcPr>
            <w:tcW w:w="550" w:type="pct"/>
            <w:tcBorders>
              <w:top w:val="outset" w:sz="6" w:space="0" w:color="auto"/>
              <w:left w:val="outset" w:sz="6" w:space="0" w:color="auto"/>
              <w:bottom w:val="outset" w:sz="6" w:space="0" w:color="auto"/>
              <w:right w:val="outset" w:sz="6" w:space="0" w:color="auto"/>
            </w:tcBorders>
            <w:hideMark/>
          </w:tcPr>
          <w:p w14:paraId="40EF7A2D"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Expression is lucid and clear with precise use of language. Writing style appropriate to the assignment type.</w:t>
            </w:r>
            <w:r w:rsidRPr="00BD60B1">
              <w:rPr>
                <w:rFonts w:ascii="Times New Roman" w:eastAsia="Times New Roman" w:hAnsi="Times New Roman" w:cs="Times New Roman"/>
                <w:sz w:val="24"/>
                <w:szCs w:val="24"/>
                <w:lang w:eastAsia="en-AU"/>
              </w:rPr>
              <w:br/>
              <w:t> Few flaws are evident in formatting, grammar and spelling. (3.5 marks)</w:t>
            </w:r>
            <w:r w:rsidRPr="00BD60B1">
              <w:rPr>
                <w:rFonts w:ascii="Times New Roman" w:eastAsia="Times New Roman" w:hAnsi="Times New Roman" w:cs="Times New Roman"/>
                <w:sz w:val="24"/>
                <w:szCs w:val="24"/>
                <w:lang w:eastAsia="en-AU"/>
              </w:rPr>
              <w:br/>
              <w:t>  </w:t>
            </w:r>
          </w:p>
        </w:tc>
        <w:tc>
          <w:tcPr>
            <w:tcW w:w="600" w:type="pct"/>
            <w:tcBorders>
              <w:top w:val="outset" w:sz="6" w:space="0" w:color="auto"/>
              <w:left w:val="outset" w:sz="6" w:space="0" w:color="auto"/>
              <w:bottom w:val="outset" w:sz="6" w:space="0" w:color="auto"/>
              <w:right w:val="outset" w:sz="6" w:space="0" w:color="auto"/>
            </w:tcBorders>
            <w:hideMark/>
          </w:tcPr>
          <w:p w14:paraId="3E2EF880"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Expression and presentation are comprehensible but lack clarity. Presentation, structure and writing style is evident but at a basic level. May also include use of informal language and weaknesses in structure. (2.5-3 marks)</w:t>
            </w:r>
          </w:p>
        </w:tc>
        <w:tc>
          <w:tcPr>
            <w:tcW w:w="950" w:type="pct"/>
            <w:tcBorders>
              <w:top w:val="outset" w:sz="6" w:space="0" w:color="auto"/>
              <w:left w:val="outset" w:sz="6" w:space="0" w:color="auto"/>
              <w:bottom w:val="outset" w:sz="6" w:space="0" w:color="auto"/>
              <w:right w:val="outset" w:sz="6" w:space="0" w:color="auto"/>
            </w:tcBorders>
            <w:hideMark/>
          </w:tcPr>
          <w:p w14:paraId="2B000C69"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Writing style is not clear, there are errors (spelling and grammar), the language is informal or unprofessional. Limited use of formatting such as headings. Missing introduction and/or </w:t>
            </w:r>
          </w:p>
          <w:p w14:paraId="3BE8DDAE"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Conclusion. (0-2 marks)</w:t>
            </w:r>
          </w:p>
        </w:tc>
      </w:tr>
      <w:tr w:rsidR="00BD60B1" w:rsidRPr="00BD60B1" w14:paraId="6E60B763" w14:textId="77777777" w:rsidTr="00BD60B1">
        <w:trPr>
          <w:tblCellSpacing w:w="0" w:type="dxa"/>
        </w:trPr>
        <w:tc>
          <w:tcPr>
            <w:tcW w:w="750" w:type="pct"/>
            <w:tcBorders>
              <w:top w:val="outset" w:sz="6" w:space="0" w:color="auto"/>
              <w:left w:val="outset" w:sz="6" w:space="0" w:color="auto"/>
              <w:bottom w:val="outset" w:sz="6" w:space="0" w:color="auto"/>
              <w:right w:val="outset" w:sz="6" w:space="0" w:color="auto"/>
            </w:tcBorders>
            <w:hideMark/>
          </w:tcPr>
          <w:p w14:paraId="14DB7F5E"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Use of APA referencing</w:t>
            </w:r>
            <w:r w:rsidRPr="00BD60B1">
              <w:rPr>
                <w:rFonts w:ascii="Times New Roman" w:eastAsia="Times New Roman" w:hAnsi="Times New Roman" w:cs="Times New Roman"/>
                <w:sz w:val="24"/>
                <w:szCs w:val="24"/>
                <w:lang w:eastAsia="en-AU"/>
              </w:rPr>
              <w:br/>
              <w:t> </w:t>
            </w:r>
            <w:r w:rsidRPr="00BD60B1">
              <w:rPr>
                <w:rFonts w:ascii="Times New Roman" w:eastAsia="Times New Roman" w:hAnsi="Times New Roman" w:cs="Times New Roman"/>
                <w:b/>
                <w:bCs/>
                <w:sz w:val="24"/>
                <w:szCs w:val="24"/>
                <w:lang w:eastAsia="en-AU"/>
              </w:rPr>
              <w:t>5 marks</w:t>
            </w:r>
          </w:p>
        </w:tc>
        <w:tc>
          <w:tcPr>
            <w:tcW w:w="300" w:type="pct"/>
            <w:tcBorders>
              <w:top w:val="outset" w:sz="6" w:space="0" w:color="auto"/>
              <w:left w:val="outset" w:sz="6" w:space="0" w:color="auto"/>
              <w:bottom w:val="outset" w:sz="6" w:space="0" w:color="auto"/>
              <w:right w:val="outset" w:sz="6" w:space="0" w:color="auto"/>
            </w:tcBorders>
            <w:hideMark/>
          </w:tcPr>
          <w:p w14:paraId="43B1EEB9"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p>
        </w:tc>
        <w:tc>
          <w:tcPr>
            <w:tcW w:w="1200" w:type="pct"/>
            <w:tcBorders>
              <w:top w:val="outset" w:sz="6" w:space="0" w:color="auto"/>
              <w:left w:val="outset" w:sz="6" w:space="0" w:color="auto"/>
              <w:bottom w:val="outset" w:sz="6" w:space="0" w:color="auto"/>
              <w:right w:val="outset" w:sz="6" w:space="0" w:color="auto"/>
            </w:tcBorders>
            <w:hideMark/>
          </w:tcPr>
          <w:p w14:paraId="1C20042E"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Sources are referenced correctly using full APA style inside the</w:t>
            </w:r>
          </w:p>
          <w:p w14:paraId="134D0B71"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report and in reference list at end of the report. (4.5-5 marks)</w:t>
            </w:r>
            <w:r w:rsidRPr="00BD60B1">
              <w:rPr>
                <w:rFonts w:ascii="Times New Roman" w:eastAsia="Times New Roman" w:hAnsi="Times New Roman" w:cs="Times New Roman"/>
                <w:sz w:val="24"/>
                <w:szCs w:val="24"/>
                <w:lang w:eastAsia="en-AU"/>
              </w:rPr>
              <w:br/>
              <w:t> </w:t>
            </w:r>
            <w:r w:rsidRPr="00BD60B1">
              <w:rPr>
                <w:rFonts w:ascii="Times New Roman" w:eastAsia="Times New Roman" w:hAnsi="Times New Roman" w:cs="Times New Roman"/>
                <w:sz w:val="24"/>
                <w:szCs w:val="24"/>
                <w:lang w:eastAsia="en-AU"/>
              </w:rPr>
              <w:br/>
              <w:t> </w:t>
            </w:r>
          </w:p>
        </w:tc>
        <w:tc>
          <w:tcPr>
            <w:tcW w:w="550" w:type="pct"/>
            <w:tcBorders>
              <w:top w:val="outset" w:sz="6" w:space="0" w:color="auto"/>
              <w:left w:val="outset" w:sz="6" w:space="0" w:color="auto"/>
              <w:bottom w:val="outset" w:sz="6" w:space="0" w:color="auto"/>
              <w:right w:val="outset" w:sz="6" w:space="0" w:color="auto"/>
            </w:tcBorders>
            <w:hideMark/>
          </w:tcPr>
          <w:p w14:paraId="0DBCA068"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Largely satisfies correct APA referencing both within the assignment and</w:t>
            </w:r>
            <w:r w:rsidRPr="00BD60B1">
              <w:rPr>
                <w:rFonts w:ascii="Times New Roman" w:eastAsia="Times New Roman" w:hAnsi="Times New Roman" w:cs="Times New Roman"/>
                <w:sz w:val="24"/>
                <w:szCs w:val="24"/>
                <w:lang w:eastAsia="en-AU"/>
              </w:rPr>
              <w:br/>
            </w:r>
            <w:r w:rsidRPr="00BD60B1">
              <w:rPr>
                <w:rFonts w:ascii="Times New Roman" w:eastAsia="Times New Roman" w:hAnsi="Times New Roman" w:cs="Times New Roman"/>
                <w:sz w:val="24"/>
                <w:szCs w:val="24"/>
                <w:lang w:eastAsia="en-AU"/>
              </w:rPr>
              <w:lastRenderedPageBreak/>
              <w:t> in reference list itself. (4 marks)</w:t>
            </w:r>
            <w:r w:rsidRPr="00BD60B1">
              <w:rPr>
                <w:rFonts w:ascii="Times New Roman" w:eastAsia="Times New Roman" w:hAnsi="Times New Roman" w:cs="Times New Roman"/>
                <w:sz w:val="24"/>
                <w:szCs w:val="24"/>
                <w:lang w:eastAsia="en-AU"/>
              </w:rPr>
              <w:br/>
              <w:t> </w:t>
            </w:r>
            <w:r w:rsidRPr="00BD60B1">
              <w:rPr>
                <w:rFonts w:ascii="Times New Roman" w:eastAsia="Times New Roman" w:hAnsi="Times New Roman" w:cs="Times New Roman"/>
                <w:sz w:val="24"/>
                <w:szCs w:val="24"/>
                <w:lang w:eastAsia="en-AU"/>
              </w:rPr>
              <w:br/>
              <w:t>  </w:t>
            </w:r>
          </w:p>
        </w:tc>
        <w:tc>
          <w:tcPr>
            <w:tcW w:w="550" w:type="pct"/>
            <w:tcBorders>
              <w:top w:val="outset" w:sz="6" w:space="0" w:color="auto"/>
              <w:left w:val="outset" w:sz="6" w:space="0" w:color="auto"/>
              <w:bottom w:val="outset" w:sz="6" w:space="0" w:color="auto"/>
              <w:right w:val="outset" w:sz="6" w:space="0" w:color="auto"/>
            </w:tcBorders>
            <w:hideMark/>
          </w:tcPr>
          <w:p w14:paraId="18626BA8"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lastRenderedPageBreak/>
              <w:t>Shows better understanding as well as application of APA referencing styles. (3.5 marks)</w:t>
            </w:r>
            <w:r w:rsidRPr="00BD60B1">
              <w:rPr>
                <w:rFonts w:ascii="Times New Roman" w:eastAsia="Times New Roman" w:hAnsi="Times New Roman" w:cs="Times New Roman"/>
                <w:sz w:val="24"/>
                <w:szCs w:val="24"/>
                <w:lang w:eastAsia="en-AU"/>
              </w:rPr>
              <w:br/>
            </w:r>
            <w:r w:rsidRPr="00BD60B1">
              <w:rPr>
                <w:rFonts w:ascii="Times New Roman" w:eastAsia="Times New Roman" w:hAnsi="Times New Roman" w:cs="Times New Roman"/>
                <w:sz w:val="24"/>
                <w:szCs w:val="24"/>
                <w:lang w:eastAsia="en-AU"/>
              </w:rPr>
              <w:lastRenderedPageBreak/>
              <w:t> </w:t>
            </w:r>
            <w:r w:rsidRPr="00BD60B1">
              <w:rPr>
                <w:rFonts w:ascii="Times New Roman" w:eastAsia="Times New Roman" w:hAnsi="Times New Roman" w:cs="Times New Roman"/>
                <w:sz w:val="24"/>
                <w:szCs w:val="24"/>
                <w:lang w:eastAsia="en-AU"/>
              </w:rPr>
              <w:br/>
              <w:t> </w:t>
            </w:r>
          </w:p>
        </w:tc>
        <w:tc>
          <w:tcPr>
            <w:tcW w:w="600" w:type="pct"/>
            <w:tcBorders>
              <w:top w:val="outset" w:sz="6" w:space="0" w:color="auto"/>
              <w:left w:val="outset" w:sz="6" w:space="0" w:color="auto"/>
              <w:bottom w:val="outset" w:sz="6" w:space="0" w:color="auto"/>
              <w:right w:val="outset" w:sz="6" w:space="0" w:color="auto"/>
            </w:tcBorders>
            <w:hideMark/>
          </w:tcPr>
          <w:p w14:paraId="12C8D683"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lastRenderedPageBreak/>
              <w:t>Basic satisfaction of correct APA referencing. May be some omissions. (2.5-3 marks)</w:t>
            </w:r>
          </w:p>
        </w:tc>
        <w:tc>
          <w:tcPr>
            <w:tcW w:w="950" w:type="pct"/>
            <w:tcBorders>
              <w:top w:val="outset" w:sz="6" w:space="0" w:color="auto"/>
              <w:left w:val="outset" w:sz="6" w:space="0" w:color="auto"/>
              <w:bottom w:val="outset" w:sz="6" w:space="0" w:color="auto"/>
              <w:right w:val="outset" w:sz="6" w:space="0" w:color="auto"/>
            </w:tcBorders>
            <w:hideMark/>
          </w:tcPr>
          <w:p w14:paraId="3DDA2832"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Referencing style is often incorrect or poorly applied, or references are</w:t>
            </w:r>
          </w:p>
          <w:p w14:paraId="7544E060" w14:textId="77777777" w:rsidR="00BD60B1" w:rsidRPr="00BD60B1" w:rsidRDefault="00BD60B1" w:rsidP="00BD60B1">
            <w:pPr>
              <w:spacing w:after="0" w:line="240" w:lineRule="auto"/>
              <w:rPr>
                <w:rFonts w:ascii="Times New Roman" w:eastAsia="Times New Roman" w:hAnsi="Times New Roman" w:cs="Times New Roman"/>
                <w:sz w:val="24"/>
                <w:szCs w:val="24"/>
                <w:lang w:eastAsia="en-AU"/>
              </w:rPr>
            </w:pPr>
            <w:r w:rsidRPr="00BD60B1">
              <w:rPr>
                <w:rFonts w:ascii="Times New Roman" w:eastAsia="Times New Roman" w:hAnsi="Times New Roman" w:cs="Times New Roman"/>
                <w:sz w:val="24"/>
                <w:szCs w:val="24"/>
                <w:lang w:eastAsia="en-AU"/>
              </w:rPr>
              <w:t>Missing. (0-2 marks)</w:t>
            </w:r>
          </w:p>
        </w:tc>
      </w:tr>
    </w:tbl>
    <w:p w14:paraId="0F683C31" w14:textId="77777777" w:rsidR="00BD60B1" w:rsidRPr="00BD60B1" w:rsidRDefault="00BD60B1" w:rsidP="00BD60B1">
      <w:pPr>
        <w:spacing w:before="100" w:beforeAutospacing="1" w:after="100" w:afterAutospacing="1" w:line="240" w:lineRule="auto"/>
        <w:rPr>
          <w:rFonts w:ascii="Times New Roman" w:eastAsia="Times New Roman" w:hAnsi="Times New Roman" w:cs="Times New Roman"/>
          <w:sz w:val="24"/>
          <w:szCs w:val="24"/>
          <w:lang w:eastAsia="en-AU"/>
        </w:rPr>
      </w:pPr>
    </w:p>
    <w:p w14:paraId="2CD9D495" w14:textId="77777777" w:rsidR="00D7336A" w:rsidRDefault="00D7336A"/>
    <w:sectPr w:rsidR="00D7336A" w:rsidSect="00BD60B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67D69"/>
    <w:multiLevelType w:val="multilevel"/>
    <w:tmpl w:val="ED42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0B1"/>
    <w:rsid w:val="00127BA4"/>
    <w:rsid w:val="001E002E"/>
    <w:rsid w:val="008F0EB7"/>
    <w:rsid w:val="008F5A65"/>
    <w:rsid w:val="00BD60B1"/>
    <w:rsid w:val="00BD7D9A"/>
    <w:rsid w:val="00D7336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01A8E"/>
  <w15:docId w15:val="{4617ADBC-F00D-4BE5-BC3A-327594C9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36A"/>
  </w:style>
  <w:style w:type="paragraph" w:styleId="Heading4">
    <w:name w:val="heading 4"/>
    <w:basedOn w:val="Normal"/>
    <w:link w:val="Heading4Char"/>
    <w:uiPriority w:val="9"/>
    <w:qFormat/>
    <w:rsid w:val="00BD60B1"/>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D60B1"/>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BD60B1"/>
    <w:rPr>
      <w:b/>
      <w:bCs/>
    </w:rPr>
  </w:style>
  <w:style w:type="character" w:styleId="Hyperlink">
    <w:name w:val="Hyperlink"/>
    <w:basedOn w:val="DefaultParagraphFont"/>
    <w:uiPriority w:val="99"/>
    <w:semiHidden/>
    <w:unhideWhenUsed/>
    <w:rsid w:val="00BD60B1"/>
    <w:rPr>
      <w:color w:val="0000FF"/>
      <w:u w:val="single"/>
    </w:rPr>
  </w:style>
  <w:style w:type="paragraph" w:styleId="NormalWeb">
    <w:name w:val="Normal (Web)"/>
    <w:basedOn w:val="Normal"/>
    <w:uiPriority w:val="99"/>
    <w:unhideWhenUsed/>
    <w:rsid w:val="00BD60B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BD60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407788">
      <w:bodyDiv w:val="1"/>
      <w:marLeft w:val="0"/>
      <w:marRight w:val="0"/>
      <w:marTop w:val="0"/>
      <w:marBottom w:val="0"/>
      <w:divBdr>
        <w:top w:val="none" w:sz="0" w:space="0" w:color="auto"/>
        <w:left w:val="none" w:sz="0" w:space="0" w:color="auto"/>
        <w:bottom w:val="none" w:sz="0" w:space="0" w:color="auto"/>
        <w:right w:val="none" w:sz="0" w:space="0" w:color="auto"/>
      </w:divBdr>
      <w:divsChild>
        <w:div w:id="1915846464">
          <w:marLeft w:val="0"/>
          <w:marRight w:val="0"/>
          <w:marTop w:val="0"/>
          <w:marBottom w:val="0"/>
          <w:divBdr>
            <w:top w:val="none" w:sz="0" w:space="0" w:color="auto"/>
            <w:left w:val="none" w:sz="0" w:space="0" w:color="auto"/>
            <w:bottom w:val="none" w:sz="0" w:space="0" w:color="auto"/>
            <w:right w:val="none" w:sz="0" w:space="0" w:color="auto"/>
          </w:divBdr>
        </w:div>
        <w:div w:id="1459570852">
          <w:marLeft w:val="0"/>
          <w:marRight w:val="0"/>
          <w:marTop w:val="0"/>
          <w:marBottom w:val="0"/>
          <w:divBdr>
            <w:top w:val="none" w:sz="0" w:space="0" w:color="auto"/>
            <w:left w:val="none" w:sz="0" w:space="0" w:color="auto"/>
            <w:bottom w:val="none" w:sz="0" w:space="0" w:color="auto"/>
            <w:right w:val="none" w:sz="0" w:space="0" w:color="auto"/>
          </w:divBdr>
        </w:div>
        <w:div w:id="1272399212">
          <w:marLeft w:val="0"/>
          <w:marRight w:val="0"/>
          <w:marTop w:val="0"/>
          <w:marBottom w:val="0"/>
          <w:divBdr>
            <w:top w:val="none" w:sz="0" w:space="0" w:color="auto"/>
            <w:left w:val="none" w:sz="0" w:space="0" w:color="auto"/>
            <w:bottom w:val="none" w:sz="0" w:space="0" w:color="auto"/>
            <w:right w:val="none" w:sz="0" w:space="0" w:color="auto"/>
          </w:divBdr>
        </w:div>
        <w:div w:id="1776318348">
          <w:marLeft w:val="0"/>
          <w:marRight w:val="0"/>
          <w:marTop w:val="0"/>
          <w:marBottom w:val="0"/>
          <w:divBdr>
            <w:top w:val="none" w:sz="0" w:space="0" w:color="auto"/>
            <w:left w:val="none" w:sz="0" w:space="0" w:color="auto"/>
            <w:bottom w:val="none" w:sz="0" w:space="0" w:color="auto"/>
            <w:right w:val="none" w:sz="0" w:space="0" w:color="auto"/>
          </w:divBdr>
        </w:div>
        <w:div w:id="1734692862">
          <w:marLeft w:val="0"/>
          <w:marRight w:val="0"/>
          <w:marTop w:val="0"/>
          <w:marBottom w:val="0"/>
          <w:divBdr>
            <w:top w:val="none" w:sz="0" w:space="0" w:color="auto"/>
            <w:left w:val="none" w:sz="0" w:space="0" w:color="auto"/>
            <w:bottom w:val="none" w:sz="0" w:space="0" w:color="auto"/>
            <w:right w:val="none" w:sz="0" w:space="0" w:color="auto"/>
          </w:divBdr>
          <w:divsChild>
            <w:div w:id="1552691313">
              <w:marLeft w:val="0"/>
              <w:marRight w:val="0"/>
              <w:marTop w:val="0"/>
              <w:marBottom w:val="0"/>
              <w:divBdr>
                <w:top w:val="none" w:sz="0" w:space="0" w:color="auto"/>
                <w:left w:val="none" w:sz="0" w:space="0" w:color="auto"/>
                <w:bottom w:val="none" w:sz="0" w:space="0" w:color="auto"/>
                <w:right w:val="none" w:sz="0" w:space="0" w:color="auto"/>
              </w:divBdr>
            </w:div>
          </w:divsChild>
        </w:div>
        <w:div w:id="238637402">
          <w:marLeft w:val="0"/>
          <w:marRight w:val="0"/>
          <w:marTop w:val="0"/>
          <w:marBottom w:val="0"/>
          <w:divBdr>
            <w:top w:val="none" w:sz="0" w:space="0" w:color="auto"/>
            <w:left w:val="none" w:sz="0" w:space="0" w:color="auto"/>
            <w:bottom w:val="none" w:sz="0" w:space="0" w:color="auto"/>
            <w:right w:val="none" w:sz="0" w:space="0" w:color="auto"/>
          </w:divBdr>
          <w:divsChild>
            <w:div w:id="165290285">
              <w:marLeft w:val="0"/>
              <w:marRight w:val="0"/>
              <w:marTop w:val="0"/>
              <w:marBottom w:val="0"/>
              <w:divBdr>
                <w:top w:val="none" w:sz="0" w:space="0" w:color="auto"/>
                <w:left w:val="none" w:sz="0" w:space="0" w:color="auto"/>
                <w:bottom w:val="none" w:sz="0" w:space="0" w:color="auto"/>
                <w:right w:val="none" w:sz="0" w:space="0" w:color="auto"/>
              </w:divBdr>
              <w:divsChild>
                <w:div w:id="1832483054">
                  <w:marLeft w:val="0"/>
                  <w:marRight w:val="0"/>
                  <w:marTop w:val="0"/>
                  <w:marBottom w:val="0"/>
                  <w:divBdr>
                    <w:top w:val="none" w:sz="0" w:space="0" w:color="auto"/>
                    <w:left w:val="none" w:sz="0" w:space="0" w:color="auto"/>
                    <w:bottom w:val="none" w:sz="0" w:space="0" w:color="auto"/>
                    <w:right w:val="none" w:sz="0" w:space="0" w:color="auto"/>
                  </w:divBdr>
                </w:div>
                <w:div w:id="1922445359">
                  <w:marLeft w:val="0"/>
                  <w:marRight w:val="0"/>
                  <w:marTop w:val="0"/>
                  <w:marBottom w:val="0"/>
                  <w:divBdr>
                    <w:top w:val="none" w:sz="0" w:space="0" w:color="auto"/>
                    <w:left w:val="none" w:sz="0" w:space="0" w:color="auto"/>
                    <w:bottom w:val="none" w:sz="0" w:space="0" w:color="auto"/>
                    <w:right w:val="none" w:sz="0" w:space="0" w:color="auto"/>
                  </w:divBdr>
                </w:div>
              </w:divsChild>
            </w:div>
            <w:div w:id="1199051304">
              <w:marLeft w:val="0"/>
              <w:marRight w:val="0"/>
              <w:marTop w:val="0"/>
              <w:marBottom w:val="0"/>
              <w:divBdr>
                <w:top w:val="none" w:sz="0" w:space="0" w:color="auto"/>
                <w:left w:val="none" w:sz="0" w:space="0" w:color="auto"/>
                <w:bottom w:val="none" w:sz="0" w:space="0" w:color="auto"/>
                <w:right w:val="none" w:sz="0" w:space="0" w:color="auto"/>
              </w:divBdr>
              <w:divsChild>
                <w:div w:id="125871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570603">
      <w:bodyDiv w:val="1"/>
      <w:marLeft w:val="0"/>
      <w:marRight w:val="0"/>
      <w:marTop w:val="0"/>
      <w:marBottom w:val="0"/>
      <w:divBdr>
        <w:top w:val="none" w:sz="0" w:space="0" w:color="auto"/>
        <w:left w:val="none" w:sz="0" w:space="0" w:color="auto"/>
        <w:bottom w:val="none" w:sz="0" w:space="0" w:color="auto"/>
        <w:right w:val="none" w:sz="0" w:space="0" w:color="auto"/>
      </w:divBdr>
    </w:div>
    <w:div w:id="1800999683">
      <w:bodyDiv w:val="1"/>
      <w:marLeft w:val="0"/>
      <w:marRight w:val="0"/>
      <w:marTop w:val="0"/>
      <w:marBottom w:val="0"/>
      <w:divBdr>
        <w:top w:val="none" w:sz="0" w:space="0" w:color="auto"/>
        <w:left w:val="none" w:sz="0" w:space="0" w:color="auto"/>
        <w:bottom w:val="none" w:sz="0" w:space="0" w:color="auto"/>
        <w:right w:val="none" w:sz="0" w:space="0" w:color="auto"/>
      </w:divBdr>
    </w:div>
    <w:div w:id="191327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749</Words>
  <Characters>4272</Characters>
  <Application>Microsoft Office Word</Application>
  <DocSecurity>0</DocSecurity>
  <Lines>35</Lines>
  <Paragraphs>10</Paragraphs>
  <ScaleCrop>false</ScaleCrop>
  <Company>Toshiba</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dc:creator>
  <cp:lastModifiedBy>Jay</cp:lastModifiedBy>
  <cp:revision>4</cp:revision>
  <dcterms:created xsi:type="dcterms:W3CDTF">2020-06-01T03:40:00Z</dcterms:created>
  <dcterms:modified xsi:type="dcterms:W3CDTF">2020-06-01T03:49:00Z</dcterms:modified>
</cp:coreProperties>
</file>